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C" w:rsidRDefault="005D511C" w:rsidP="005D511C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="005D5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0E6D23">
        <w:rPr>
          <w:rFonts w:ascii="Times New Roman" w:eastAsia="Times New Roman" w:hAnsi="Times New Roman" w:cs="Times New Roman"/>
          <w:sz w:val="24"/>
          <w:szCs w:val="24"/>
        </w:rPr>
        <w:tab/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511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D511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E6D23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>Заммоева</w:t>
      </w:r>
      <w:proofErr w:type="spellEnd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Алексея </w:t>
      </w:r>
      <w:proofErr w:type="spellStart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>Узеировича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овылинское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овылинское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>Убушаев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 xml:space="preserve"> Серге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 xml:space="preserve"> Викторович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 перепланировки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(ИМБТ1):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водителя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втомобиля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установленная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3) S прочие расходы водителя спец.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ИМБТ2=Д-Р,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Р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ИМБТ3=НЭЗТ*Ц,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Ц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НЭЗТ=В*Н*1/К*С,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В - среднесуточная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К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D4186C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4186C" w:rsidRPr="00D4186C">
        <w:rPr>
          <w:rFonts w:ascii="Times New Roman" w:eastAsia="Times New Roman" w:hAnsi="Times New Roman" w:cs="Times New Roman"/>
          <w:color w:val="000000"/>
          <w:sz w:val="24"/>
          <w:szCs w:val="24"/>
        </w:rPr>
        <w:t>94,9 тыс. руб.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4D46E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FC2DAD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C2DAD">
        <w:rPr>
          <w:rFonts w:ascii="Times New Roman" w:eastAsia="Times New Roman" w:hAnsi="Times New Roman" w:cs="Times New Roman"/>
          <w:sz w:val="24"/>
          <w:szCs w:val="24"/>
        </w:rPr>
        <w:t>Для осуществления переданных в соответствии с настоящим соглашением полномочий Администрация муниципального района передает транспортное средство ЗИЛ ММЗ 554 М (установлена штатная цистерна для перевозки воды) свидетельство о соответствии транспортного средства с внесенными в его конструкцию изменениями требованиям безопасности 75 ВЕ № 00245 государственный регистрационный знак В552ВС75 год выпуска 1993 номер шасси 3316657.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0,0 тыс. руб.</w:t>
      </w:r>
    </w:p>
    <w:p w:rsidR="004D46EA" w:rsidRPr="004D46EA" w:rsidRDefault="004D46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5245"/>
      </w:tblGrid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sz w:val="24"/>
                <w:szCs w:val="24"/>
              </w:rPr>
            </w:pP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номер-510012, площадь- 462.5 кв.м.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номер-630052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-630113; 83 м., 1972 г.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номер-030153; 237 м., 1972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010144; 46,0 кв.м; 1972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0243960,09 кв.м., 1982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610023;240,0 кв.м., 1972 год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-610024;40,0 кв.м.. 1972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630113;1169,6 м., 1973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030153;1281,5 м., 1973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9635 шт.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Автомобиль-УАЗ-220694-04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кузова-22060070210899, № шасс-37410070415121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ПН-40ув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ЗИЛ-130 АЦ-40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двигателя -474025,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гос.регистрационный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 № А 109 ХК.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–С-28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110104005000134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ЭВЦ-6-16-110  УКР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номер-110104000000156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Мотопомпа </w:t>
            </w:r>
            <w:r w:rsidRPr="00A4137B">
              <w:rPr>
                <w:rFonts w:ascii="Times New Roman" w:hAnsi="Times New Roman"/>
                <w:sz w:val="24"/>
                <w:szCs w:val="24"/>
                <w:lang w:val="en-US"/>
              </w:rPr>
              <w:t>robin pump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Инвентарный номер -00000000110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 2птс-4.5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0000000271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автоцисцерна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4616-01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номер-0000000107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ВРУ-250А(2*100+4*50)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Трансформатор ТМ-250/10/0.4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УАЗ3909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-22070038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ХТУ00819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-23010006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-374101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-97100017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Т-156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24093301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Экскаватор ЭО-2621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95077201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Разъединитель РЛДНИ1-10/400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12-ти квартирный жилой дом 7 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номер- 510062;</w:t>
            </w:r>
          </w:p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ввода-1972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8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510063;</w:t>
            </w:r>
          </w:p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 – 1972 г.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9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номер-520064;</w:t>
            </w:r>
          </w:p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кв.м, год ввода-1972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номер-010019;</w:t>
            </w:r>
          </w:p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295.29 кв.м, год ввода-1973</w:t>
            </w:r>
          </w:p>
        </w:tc>
      </w:tr>
    </w:tbl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5. Контроль за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6. Срок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 Расторжение Соглашения влечет за собойвозврат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6F6E" w:rsidTr="004358B6">
        <w:tc>
          <w:tcPr>
            <w:tcW w:w="4785" w:type="dxa"/>
          </w:tcPr>
          <w:p w:rsidR="00326F6E" w:rsidRDefault="00326F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</w:t>
            </w:r>
            <w:r w:rsidR="00D4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«Город Краснокаменск и Краснокаменский район» Забайкальского края (Комитет по финансам)</w:t>
            </w:r>
          </w:p>
        </w:tc>
        <w:tc>
          <w:tcPr>
            <w:tcW w:w="4786" w:type="dxa"/>
          </w:tcPr>
          <w:p w:rsidR="00326F6E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r w:rsidR="00B66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D41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овылинское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326F6E" w:rsidTr="004358B6">
        <w:tc>
          <w:tcPr>
            <w:tcW w:w="4785" w:type="dxa"/>
          </w:tcPr>
          <w:p w:rsidR="003D3D2A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Краснокаменск, д. 505</w:t>
            </w:r>
          </w:p>
        </w:tc>
        <w:tc>
          <w:tcPr>
            <w:tcW w:w="4786" w:type="dxa"/>
          </w:tcPr>
          <w:p w:rsidR="00D4186C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67468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Забайкальский край, Краснокаменский район, 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</w:t>
            </w:r>
            <w:r w:rsidR="00B661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овыли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26F6E" w:rsidRPr="00D43C29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326F6E" w:rsidRPr="00D43C29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7530010744</w:t>
            </w:r>
            <w:r w:rsidR="002726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753001001</w:t>
            </w:r>
          </w:p>
        </w:tc>
      </w:tr>
      <w:tr w:rsidR="00326F6E" w:rsidTr="004358B6">
        <w:tc>
          <w:tcPr>
            <w:tcW w:w="4785" w:type="dxa"/>
          </w:tcPr>
          <w:p w:rsidR="00326F6E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40204810800000000114 в Отделении</w:t>
            </w:r>
          </w:p>
          <w:p w:rsidR="00D43C29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 г. Чита</w:t>
            </w:r>
          </w:p>
        </w:tc>
        <w:tc>
          <w:tcPr>
            <w:tcW w:w="4786" w:type="dxa"/>
          </w:tcPr>
          <w:p w:rsidR="00326F6E" w:rsidRPr="00D43C29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р/счет 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40204810450040020119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г. Чита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047601001</w:t>
            </w:r>
          </w:p>
        </w:tc>
        <w:tc>
          <w:tcPr>
            <w:tcW w:w="4786" w:type="dxa"/>
          </w:tcPr>
          <w:p w:rsidR="00326F6E" w:rsidRPr="00D43C29" w:rsidRDefault="00C87723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047601001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04913010920, 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326F6E" w:rsidRPr="00D43C29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5C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, УФК по Забайкальскому краю (Администрация сельского поселения «</w:t>
            </w:r>
            <w:r w:rsidR="00575CF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овылинское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326F6E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="00D4186C" w:rsidRP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76621402</w:t>
            </w:r>
          </w:p>
        </w:tc>
      </w:tr>
      <w:tr w:rsidR="00326F6E" w:rsidTr="004358B6">
        <w:tc>
          <w:tcPr>
            <w:tcW w:w="4785" w:type="dxa"/>
          </w:tcPr>
          <w:p w:rsidR="00326F6E" w:rsidRDefault="00D43C29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 «Город Краснокаменск и Краснокаменский район» Забайкальского края</w:t>
            </w:r>
          </w:p>
          <w:p w:rsidR="004358B6" w:rsidRDefault="004358B6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23" w:rsidRPr="00D43C29" w:rsidRDefault="0080420B" w:rsidP="0080420B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_______________/Заммоев А.У./</w:t>
            </w:r>
          </w:p>
        </w:tc>
        <w:tc>
          <w:tcPr>
            <w:tcW w:w="4786" w:type="dxa"/>
          </w:tcPr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6E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овылинское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B6" w:rsidRPr="00D43C29" w:rsidRDefault="004358B6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D4186C" w:rsidRP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Убушаев С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186C" w:rsidRP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3C29" w:rsidTr="004358B6">
        <w:tc>
          <w:tcPr>
            <w:tcW w:w="4785" w:type="dxa"/>
          </w:tcPr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6D23"/>
    <w:rsid w:val="000E740E"/>
    <w:rsid w:val="000F3A2C"/>
    <w:rsid w:val="00143585"/>
    <w:rsid w:val="001756B5"/>
    <w:rsid w:val="001D5280"/>
    <w:rsid w:val="00200EE3"/>
    <w:rsid w:val="0021636E"/>
    <w:rsid w:val="0027263F"/>
    <w:rsid w:val="00326F6E"/>
    <w:rsid w:val="00387E6B"/>
    <w:rsid w:val="003C5EA0"/>
    <w:rsid w:val="003D3D2A"/>
    <w:rsid w:val="004256C0"/>
    <w:rsid w:val="004358B6"/>
    <w:rsid w:val="0046391C"/>
    <w:rsid w:val="00476C5F"/>
    <w:rsid w:val="004902F0"/>
    <w:rsid w:val="004D46EA"/>
    <w:rsid w:val="004D68D5"/>
    <w:rsid w:val="00527DA8"/>
    <w:rsid w:val="005342D9"/>
    <w:rsid w:val="00555AB8"/>
    <w:rsid w:val="00575CF2"/>
    <w:rsid w:val="00585E61"/>
    <w:rsid w:val="005D511C"/>
    <w:rsid w:val="00612A2E"/>
    <w:rsid w:val="00627845"/>
    <w:rsid w:val="006340F0"/>
    <w:rsid w:val="00653CC6"/>
    <w:rsid w:val="006A68F4"/>
    <w:rsid w:val="006D33BD"/>
    <w:rsid w:val="007742B9"/>
    <w:rsid w:val="0080420B"/>
    <w:rsid w:val="00824478"/>
    <w:rsid w:val="008977F1"/>
    <w:rsid w:val="008A6FB8"/>
    <w:rsid w:val="008D3831"/>
    <w:rsid w:val="00916385"/>
    <w:rsid w:val="00A14F2B"/>
    <w:rsid w:val="00B4778D"/>
    <w:rsid w:val="00B56E8E"/>
    <w:rsid w:val="00B661EA"/>
    <w:rsid w:val="00B81BA2"/>
    <w:rsid w:val="00BD2404"/>
    <w:rsid w:val="00BF3AD5"/>
    <w:rsid w:val="00C11C9A"/>
    <w:rsid w:val="00C557F8"/>
    <w:rsid w:val="00C820D1"/>
    <w:rsid w:val="00C87723"/>
    <w:rsid w:val="00CA106A"/>
    <w:rsid w:val="00D07C3F"/>
    <w:rsid w:val="00D23C30"/>
    <w:rsid w:val="00D3390A"/>
    <w:rsid w:val="00D4186C"/>
    <w:rsid w:val="00D43C29"/>
    <w:rsid w:val="00DA46D1"/>
    <w:rsid w:val="00DB6471"/>
    <w:rsid w:val="00DF2268"/>
    <w:rsid w:val="00E77600"/>
    <w:rsid w:val="00EC593B"/>
    <w:rsid w:val="00FA70EF"/>
    <w:rsid w:val="00FC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Сергей</cp:lastModifiedBy>
  <cp:revision>2</cp:revision>
  <cp:lastPrinted>2018-12-07T05:39:00Z</cp:lastPrinted>
  <dcterms:created xsi:type="dcterms:W3CDTF">2020-02-06T02:49:00Z</dcterms:created>
  <dcterms:modified xsi:type="dcterms:W3CDTF">2020-02-06T02:49:00Z</dcterms:modified>
</cp:coreProperties>
</file>